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471393" w:rsidRPr="008D13FA" w:rsidRDefault="0065216B" w:rsidP="00471393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471393">
        <w:rPr>
          <w:rFonts w:ascii="Arial" w:hAnsi="Arial" w:cs="Arial"/>
          <w:b/>
          <w:color w:val="000000" w:themeColor="text1"/>
          <w:lang w:val="fr-CH"/>
        </w:rPr>
        <w:t>2.1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: </w:t>
      </w:r>
      <w:r w:rsidR="00471393" w:rsidRPr="008D13FA">
        <w:rPr>
          <w:rFonts w:ascii="Arial" w:hAnsi="Arial" w:cs="Arial"/>
          <w:sz w:val="18"/>
          <w:lang w:val="fr-CH"/>
        </w:rPr>
        <w:t>Participe à la mise en œuvre de la structure journalière des client</w:t>
      </w:r>
      <w:r w:rsidR="00471393" w:rsidRPr="008D13FA">
        <w:rPr>
          <w:rFonts w:ascii="Arial" w:hAnsi="Arial" w:cs="Arial"/>
          <w:sz w:val="18"/>
          <w:lang w:val="fr-CH"/>
        </w:rPr>
        <w:noBreakHyphen/>
        <w:t>e</w:t>
      </w:r>
      <w:r w:rsidR="00471393" w:rsidRPr="008D13FA">
        <w:rPr>
          <w:rFonts w:ascii="Arial" w:hAnsi="Arial" w:cs="Arial"/>
          <w:sz w:val="18"/>
          <w:lang w:val="fr-CH"/>
        </w:rPr>
        <w:noBreakHyphen/>
        <w:t>s.</w:t>
      </w:r>
    </w:p>
    <w:p w:rsidR="00BC05CC" w:rsidRPr="008D13FA" w:rsidRDefault="00BC05CC" w:rsidP="00BC05CC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</w:p>
    <w:p w:rsidR="00091AA0" w:rsidRPr="00D63A29" w:rsidRDefault="00091AA0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471393" w:rsidRPr="00471393" w:rsidRDefault="00471393" w:rsidP="0047139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47139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Communique de manière professionnelle</w:t>
            </w:r>
          </w:p>
          <w:p w:rsidR="00471393" w:rsidRPr="00471393" w:rsidRDefault="00471393" w:rsidP="0047139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47139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renseigne sur les programmes internes quotidiens</w:t>
            </w:r>
          </w:p>
          <w:p w:rsidR="00471393" w:rsidRPr="00471393" w:rsidRDefault="00553177" w:rsidP="0047139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Accompagne les client-e-</w:t>
            </w:r>
            <w:r w:rsidR="00471393" w:rsidRPr="0047139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 durant les activités</w:t>
            </w:r>
          </w:p>
          <w:p w:rsidR="00471393" w:rsidRPr="00471393" w:rsidRDefault="00471393" w:rsidP="0047139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47139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Favo</w:t>
            </w:r>
            <w:r w:rsidR="0055317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rise l’autonomie des client-e-s</w:t>
            </w:r>
          </w:p>
          <w:p w:rsidR="00471393" w:rsidRPr="00471393" w:rsidRDefault="00471393" w:rsidP="0047139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47139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</w:t>
            </w:r>
            <w:r w:rsidR="0055317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te les habitudes des client-e-s</w:t>
            </w:r>
          </w:p>
          <w:p w:rsidR="00471393" w:rsidRPr="00BC05CC" w:rsidRDefault="00553177" w:rsidP="0047139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Observe les client-e-</w:t>
            </w:r>
            <w:r w:rsidR="00471393" w:rsidRPr="0047139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s, reconnaît les changements physiques et psychiques et les transmet</w:t>
            </w:r>
          </w:p>
          <w:p w:rsidR="00905804" w:rsidRPr="00D63A29" w:rsidRDefault="00905804" w:rsidP="00AE35A2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471393" w:rsidRPr="00471393" w:rsidRDefault="00471393" w:rsidP="0047139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47139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Est attentif-ve</w:t>
            </w:r>
          </w:p>
          <w:p w:rsidR="00471393" w:rsidRPr="00471393" w:rsidRDefault="00471393" w:rsidP="0047139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Considère les client-e-s</w:t>
            </w:r>
            <w:r w:rsidRPr="0047139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comme des individus ayant une personnalité propre</w:t>
            </w:r>
          </w:p>
          <w:p w:rsidR="00471393" w:rsidRPr="00471393" w:rsidRDefault="00471393" w:rsidP="0047139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47139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Établit une relation professionnelle</w:t>
            </w:r>
          </w:p>
          <w:p w:rsidR="00471393" w:rsidRPr="00471393" w:rsidRDefault="00471393" w:rsidP="0047139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47139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 du tact</w:t>
            </w:r>
          </w:p>
          <w:p w:rsidR="00471393" w:rsidRPr="00471393" w:rsidRDefault="00471393" w:rsidP="0047139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aidant-</w:t>
            </w:r>
            <w:r w:rsidRPr="0047139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</w:t>
            </w:r>
          </w:p>
          <w:p w:rsidR="00905804" w:rsidRPr="00D63A29" w:rsidRDefault="00471393" w:rsidP="00471393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471393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Travaille de façon motivante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4E2CD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4E2CD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4E2CD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4E2CD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4E2CD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4E2CD0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4E2CD0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80183F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3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80183F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TwkVYnjxRXVzv5GqXAGNS1hetzU8xmHH5IrwnAPj64QFdZLTYdAp5rgiXLQfDSslhc2zfWdPuWxLhgT0wEFrQ==" w:salt="GefxXfm0wAIO7bH7juWa7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81C58"/>
    <w:rsid w:val="001F56CB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71393"/>
    <w:rsid w:val="004765E6"/>
    <w:rsid w:val="00490612"/>
    <w:rsid w:val="004E2CD0"/>
    <w:rsid w:val="004E7812"/>
    <w:rsid w:val="004F1724"/>
    <w:rsid w:val="00553177"/>
    <w:rsid w:val="005601D0"/>
    <w:rsid w:val="00560A0A"/>
    <w:rsid w:val="00577FDE"/>
    <w:rsid w:val="005B5C04"/>
    <w:rsid w:val="00616BB4"/>
    <w:rsid w:val="0065216B"/>
    <w:rsid w:val="0066331D"/>
    <w:rsid w:val="00675307"/>
    <w:rsid w:val="006761C4"/>
    <w:rsid w:val="006B1B80"/>
    <w:rsid w:val="006D7742"/>
    <w:rsid w:val="00760D77"/>
    <w:rsid w:val="007679F0"/>
    <w:rsid w:val="00783075"/>
    <w:rsid w:val="00783693"/>
    <w:rsid w:val="00783DC8"/>
    <w:rsid w:val="0080183F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C23B01"/>
    <w:rsid w:val="00C450E9"/>
    <w:rsid w:val="00C67FAC"/>
    <w:rsid w:val="00C75AC2"/>
    <w:rsid w:val="00C807D8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56AC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2021-01-06T12:24:00Z</cp:lastPrinted>
  <dcterms:created xsi:type="dcterms:W3CDTF">2021-02-08T15:50:00Z</dcterms:created>
  <dcterms:modified xsi:type="dcterms:W3CDTF">2021-02-12T07:17:00Z</dcterms:modified>
</cp:coreProperties>
</file>