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A70787" w:rsidRDefault="0065216B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F64C51">
        <w:rPr>
          <w:rFonts w:ascii="Arial" w:hAnsi="Arial" w:cs="Arial"/>
          <w:b/>
          <w:color w:val="000000" w:themeColor="text1"/>
          <w:lang w:val="fr-CH"/>
        </w:rPr>
        <w:t>3.</w:t>
      </w:r>
      <w:r w:rsidR="006E1B92">
        <w:rPr>
          <w:rFonts w:ascii="Arial" w:hAnsi="Arial" w:cs="Arial"/>
          <w:b/>
          <w:color w:val="000000" w:themeColor="text1"/>
          <w:lang w:val="fr-CH"/>
        </w:rPr>
        <w:t>3</w:t>
      </w:r>
      <w:r w:rsidR="00CA3176">
        <w:rPr>
          <w:rFonts w:ascii="Arial" w:hAnsi="Arial" w:cs="Arial"/>
          <w:color w:val="000000" w:themeColor="text1"/>
          <w:lang w:val="fr-CH"/>
        </w:rPr>
        <w:t>:</w:t>
      </w:r>
      <w:r w:rsidR="00436FBA">
        <w:rPr>
          <w:rFonts w:ascii="Arial" w:hAnsi="Arial" w:cs="Arial"/>
          <w:color w:val="000000" w:themeColor="text1"/>
          <w:lang w:val="fr-CH"/>
        </w:rPr>
        <w:t xml:space="preserve"> </w:t>
      </w:r>
      <w:r w:rsidR="00436FBA" w:rsidRPr="008D13FA">
        <w:rPr>
          <w:rFonts w:ascii="Arial" w:hAnsi="Arial" w:cs="Arial"/>
          <w:sz w:val="18"/>
          <w:lang w:val="fr-CH"/>
        </w:rPr>
        <w:t>Aide les client</w:t>
      </w:r>
      <w:r w:rsidR="00436FBA" w:rsidRPr="008D13FA">
        <w:rPr>
          <w:rFonts w:ascii="Arial" w:hAnsi="Arial" w:cs="Arial"/>
          <w:sz w:val="18"/>
          <w:lang w:val="fr-CH"/>
        </w:rPr>
        <w:noBreakHyphen/>
        <w:t>e</w:t>
      </w:r>
      <w:r w:rsidR="00436FBA" w:rsidRPr="008D13FA">
        <w:rPr>
          <w:rFonts w:ascii="Arial" w:hAnsi="Arial" w:cs="Arial"/>
          <w:sz w:val="18"/>
          <w:lang w:val="fr-CH"/>
        </w:rPr>
        <w:noBreakHyphen/>
        <w:t>s pour les achats courants.</w:t>
      </w:r>
    </w:p>
    <w:p w:rsidR="00091AA0" w:rsidRPr="00D63A29" w:rsidRDefault="00091AA0" w:rsidP="00A70787">
      <w:pPr>
        <w:pStyle w:val="Funotentext"/>
        <w:snapToGrid w:val="0"/>
        <w:spacing w:before="30" w:after="30"/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6E1B92" w:rsidRPr="006E1B92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Informe les client e-s</w:t>
            </w:r>
          </w:p>
          <w:p w:rsidR="006E1B92" w:rsidRPr="006E1B92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Calcule les données des recettes pour les adapter au nombre de convives</w:t>
            </w:r>
          </w:p>
          <w:p w:rsidR="006E1B92" w:rsidRPr="006E1B92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Gère l’argent des client-e-s</w:t>
            </w: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de façon fiable </w:t>
            </w:r>
          </w:p>
          <w:p w:rsidR="006E1B92" w:rsidRPr="006E1B92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capable de calculer la monnaie</w:t>
            </w:r>
          </w:p>
          <w:p w:rsidR="006E1B92" w:rsidRPr="00CE4F77" w:rsidRDefault="006E1B92" w:rsidP="006E1B92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Compare les produits de différents prestataires et motive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le choix proposé aux client-e-s</w:t>
            </w:r>
          </w:p>
          <w:p w:rsidR="00905804" w:rsidRPr="00D63A29" w:rsidRDefault="00905804" w:rsidP="00CE4F77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6E1B92" w:rsidRPr="006E1B92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Est fiable </w:t>
            </w:r>
          </w:p>
          <w:p w:rsidR="006E1B92" w:rsidRPr="006E1B92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Est honnête</w:t>
            </w:r>
          </w:p>
          <w:p w:rsidR="006E1B92" w:rsidRPr="006E1B92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Établit une relation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valorisante avec les client-e-s</w:t>
            </w:r>
          </w:p>
          <w:p w:rsidR="006E1B92" w:rsidRPr="006E1B92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Répond aux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vœux et attentes des client-e-s </w:t>
            </w: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de manière appropriée</w:t>
            </w:r>
          </w:p>
          <w:p w:rsidR="00905804" w:rsidRPr="00D63A29" w:rsidRDefault="006E1B92" w:rsidP="006E1B92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6E1B92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Sait placer ses propres préférences en retrait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946CA5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946CA5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946CA5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946CA5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946CA5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946CA5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946CA5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C3295D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C3295D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k6TWdmpAVEoaE1zOt4rMr+3xjIg9Keq0aLcZrTW9C3k31C+zFJbLZobmMjplLBoHWTYQHWXUxcoGbU7HzW+mw==" w:salt="5ZeHvsdjn0cf2Drf9MmYT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D62C0"/>
    <w:rsid w:val="001F56CB"/>
    <w:rsid w:val="00210A58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36FBA"/>
    <w:rsid w:val="00471393"/>
    <w:rsid w:val="004765E6"/>
    <w:rsid w:val="00490612"/>
    <w:rsid w:val="004B37EF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6E1B9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6CA5"/>
    <w:rsid w:val="009475FF"/>
    <w:rsid w:val="009538A4"/>
    <w:rsid w:val="009629C1"/>
    <w:rsid w:val="0097536A"/>
    <w:rsid w:val="0099361F"/>
    <w:rsid w:val="009A2C39"/>
    <w:rsid w:val="009A73BA"/>
    <w:rsid w:val="009B05AD"/>
    <w:rsid w:val="00A40AC9"/>
    <w:rsid w:val="00A41ACC"/>
    <w:rsid w:val="00A70787"/>
    <w:rsid w:val="00A80E4C"/>
    <w:rsid w:val="00A85228"/>
    <w:rsid w:val="00A906C1"/>
    <w:rsid w:val="00A957BB"/>
    <w:rsid w:val="00AA3514"/>
    <w:rsid w:val="00AC56B4"/>
    <w:rsid w:val="00AC58D9"/>
    <w:rsid w:val="00AD25C2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F34AC"/>
    <w:rsid w:val="00C23B01"/>
    <w:rsid w:val="00C2663C"/>
    <w:rsid w:val="00C3295D"/>
    <w:rsid w:val="00C450E9"/>
    <w:rsid w:val="00C67FAC"/>
    <w:rsid w:val="00C75AC2"/>
    <w:rsid w:val="00C807D8"/>
    <w:rsid w:val="00C86A35"/>
    <w:rsid w:val="00C95E1D"/>
    <w:rsid w:val="00CA3176"/>
    <w:rsid w:val="00CA6604"/>
    <w:rsid w:val="00CC327D"/>
    <w:rsid w:val="00CC3FC0"/>
    <w:rsid w:val="00CC4120"/>
    <w:rsid w:val="00CC7B88"/>
    <w:rsid w:val="00CD1121"/>
    <w:rsid w:val="00CD6742"/>
    <w:rsid w:val="00CE4F77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43C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46FB3"/>
    <w:rsid w:val="00F64C51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8</cp:revision>
  <cp:lastPrinted>2021-01-06T12:24:00Z</cp:lastPrinted>
  <dcterms:created xsi:type="dcterms:W3CDTF">2021-02-08T16:09:00Z</dcterms:created>
  <dcterms:modified xsi:type="dcterms:W3CDTF">2021-02-12T07:25:00Z</dcterms:modified>
</cp:coreProperties>
</file>